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right="-90" w:firstLine="0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Project Title Rubric</w:t>
      </w:r>
    </w:p>
    <w:p w:rsidR="00000000" w:rsidDel="00000000" w:rsidP="00000000" w:rsidRDefault="00000000" w:rsidRPr="00000000">
      <w:pPr>
        <w:ind w:left="0" w:right="-9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     Points: __ / __</w:t>
      </w:r>
    </w:p>
    <w:p w:rsidR="00000000" w:rsidDel="00000000" w:rsidP="00000000" w:rsidRDefault="00000000" w:rsidRPr="00000000">
      <w:pPr>
        <w:ind w:left="0" w:right="-9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845"/>
        <w:gridCol w:w="1845"/>
        <w:gridCol w:w="1845"/>
        <w:gridCol w:w="1845"/>
        <w:gridCol w:w="1845"/>
        <w:tblGridChange w:id="0">
          <w:tblGrid>
            <w:gridCol w:w="1845"/>
            <w:gridCol w:w="1845"/>
            <w:gridCol w:w="1845"/>
            <w:gridCol w:w="1845"/>
            <w:gridCol w:w="1845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Skill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could not manipulate media with confidence and skill. Artwork shows no expression or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had difficulty manipulating media with confidence and skill. Artwork meets limited expectations for expression with rudimentary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manipulate media with satisfactory confidence and skill. Artwork meets basic expectations for expression with basic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manipulate media with above average confidence and skill. Artwork is reasonably expressive with above average technical resolution.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manipulate media with outstanding confidence and skill. Artwork is highly expressive with exceeding technical resolution.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Formal Quality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could not use the elements and/or principles of design any degree. Artwork shows no knowledge of formal qualities and composition.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had difficulty using the elements and/or principles of design. Artwork shows limited knowledge of formal qualities and composition.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the elements and/or principles of design to a basic degree. Artwork shows basic knowledge of formal qualities and composition.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the elements and/or principles of design to an above average degree. Artwork shows reasonable knowledge of formal qualities and composition.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is able to use the elements and/or principles of design to an outstanding degree. Artwork shows exceeding knowledge of formal qualities and composition.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Conceptual Complexity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no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a limited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a basic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an above average  level of research, experimentation and originality.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165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communicated by the artwork shows an outstanding level of research, experimentation and originality.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[Exemplars]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9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Notes:</w:t>
      </w:r>
    </w:p>
    <w:sectPr>
      <w:footerReference r:id="rId5" w:type="default"/>
      <w:pgSz w:h="15840" w:w="12240"/>
      <w:pgMar w:bottom="1440" w:top="1440" w:left="630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Rubric designed by Nicholas Leonard for Illinois Art Education Association Webinar Presentation 2017. Inspired by the work of Dr. Boughton.</w:t>
    </w: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838200" cy="295275"/>
            <wp:effectExtent b="0" l="0" r="0" t="0"/>
            <wp:docPr descr="88x31.png" id="1" name="image2.png"/>
            <a:graphic>
              <a:graphicData uri="http://schemas.openxmlformats.org/drawingml/2006/picture">
                <pic:pic>
                  <pic:nvPicPr>
                    <pic:cNvPr descr="88x31.png"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2.png"/></Relationships>
</file>